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3"/>
        <w:rPr>
          <w:sz w:val="44"/>
          <w:szCs w:val="44"/>
        </w:rPr>
      </w:pPr>
      <w:r>
        <w:rPr>
          <w:sz w:val="44"/>
          <w:szCs w:val="4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-1225550</wp:posOffset>
            </wp:positionH>
            <wp:positionV relativeFrom="paragraph">
              <wp:posOffset>-914400</wp:posOffset>
            </wp:positionV>
            <wp:extent cx="7684135" cy="10723245"/>
            <wp:effectExtent l="0" t="0" r="0" b="0"/>
            <wp:wrapNone/>
            <wp:docPr id="13698654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65467" name="图片 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246" cy="1081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3"/>
        <w:rPr>
          <w:sz w:val="44"/>
          <w:szCs w:val="44"/>
        </w:rPr>
      </w:pPr>
    </w:p>
    <w:p>
      <w:pPr>
        <w:pStyle w:val="23"/>
        <w:rPr>
          <w:sz w:val="44"/>
          <w:szCs w:val="44"/>
        </w:rPr>
      </w:pPr>
    </w:p>
    <w:p>
      <w:pPr>
        <w:pStyle w:val="23"/>
        <w:rPr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</w:p>
    <w:p>
      <w:pPr>
        <w:pStyle w:val="23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碳链记-基于区块链的</w:t>
      </w:r>
    </w:p>
    <w:p>
      <w:pPr>
        <w:pStyle w:val="23"/>
        <w:rPr>
          <w:rFonts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碳核算和碳交易系统</w:t>
      </w:r>
    </w:p>
    <w:p>
      <w:pPr>
        <w:pStyle w:val="23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管理员端用户使用手册</w:t>
      </w: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ind w:firstLine="2162" w:firstLineChars="600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ascii="Times New Roman Regular" w:hAnsi="Times New Roman Regular" w:cs="Times New Roman Regular"/>
          <w:b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w:t>开发团队：你的外包我来包</w:t>
      </w:r>
    </w:p>
    <w:p>
      <w:pPr>
        <w:jc w:val="both"/>
      </w:pPr>
    </w:p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2"/>
          <w:szCs w:val="24"/>
          <w:lang w:val="zh-CN"/>
          <w14:ligatures w14:val="standardContextual"/>
        </w:rPr>
        <w:id w:val="17135388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2"/>
          <w:szCs w:val="24"/>
          <w:lang w:val="en-US"/>
          <w14:ligatures w14:val="standardContextual"/>
        </w:rPr>
      </w:sdtEndPr>
      <w:sdtContent>
        <w:p>
          <w:pPr>
            <w:pStyle w:val="46"/>
            <w:jc w:val="center"/>
          </w:pPr>
          <w:r>
            <w:rPr>
              <w:lang w:val="zh-CN"/>
            </w:rPr>
            <w:t>目录</w:t>
          </w:r>
        </w:p>
        <w:p>
          <w:pPr>
            <w:pStyle w:val="17"/>
            <w:tabs>
              <w:tab w:val="right" w:leader="dot" w:pos="8306"/>
            </w:tabs>
          </w:pPr>
          <w:r>
            <w:rPr>
              <w:b w:val="0"/>
              <w:bCs w:val="0"/>
            </w:rPr>
            <w:fldChar w:fldCharType="begin"/>
          </w:r>
          <w:r>
            <w:instrText xml:space="preserve">TOC \o "1-3" \h \z \u</w:instrText>
          </w:r>
          <w:r>
            <w:rPr>
              <w:b w:val="0"/>
              <w:bCs w:val="0"/>
            </w:rPr>
            <w:fldChar w:fldCharType="separate"/>
          </w:r>
          <w:r>
            <w:rPr>
              <w:bCs w:val="0"/>
            </w:rPr>
            <w:fldChar w:fldCharType="begin"/>
          </w:r>
          <w:r>
            <w:rPr>
              <w:bCs w:val="0"/>
            </w:rPr>
            <w:instrText xml:space="preserve"> HYPERLINK \l _Toc1470143203 </w:instrText>
          </w:r>
          <w:r>
            <w:rPr>
              <w:bCs w:val="0"/>
            </w:rPr>
            <w:fldChar w:fldCharType="separate"/>
          </w:r>
          <w:r>
            <w:rPr>
              <w:rFonts w:ascii="Times New Roman" w:hAnsi="Times New Roman" w:eastAsia="楷体" w:cs="Times New Roman"/>
              <w:szCs w:val="44"/>
            </w:rPr>
            <w:t>1.</w:t>
          </w:r>
          <w:r>
            <w:rPr>
              <w:rFonts w:hint="eastAsia" w:ascii="楷体" w:hAnsi="楷体" w:eastAsia="楷体"/>
              <w:szCs w:val="44"/>
            </w:rPr>
            <w:t>软件概述</w:t>
          </w:r>
          <w:r>
            <w:tab/>
          </w:r>
          <w:r>
            <w:fldChar w:fldCharType="begin"/>
          </w:r>
          <w:r>
            <w:instrText xml:space="preserve"> PAGEREF _Toc1470143203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 w:val="0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_Toc1897454086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1.1</w:t>
          </w:r>
          <w:r>
            <w:rPr>
              <w:rFonts w:hint="eastAsia" w:ascii="楷体" w:hAnsi="楷体" w:eastAsia="楷体"/>
              <w:szCs w:val="32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_Toc1897454086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_Toc378665452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1.2</w:t>
          </w:r>
          <w:r>
            <w:rPr>
              <w:rFonts w:hint="eastAsia" w:ascii="楷体" w:hAnsi="楷体" w:eastAsia="楷体"/>
              <w:szCs w:val="32"/>
            </w:rPr>
            <w:t>功能</w:t>
          </w:r>
          <w:r>
            <w:tab/>
          </w:r>
          <w:r>
            <w:fldChar w:fldCharType="begin"/>
          </w:r>
          <w:r>
            <w:instrText xml:space="preserve"> PAGEREF _Toc378665452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_Toc1236205703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1.3</w:t>
          </w:r>
          <w:r>
            <w:rPr>
              <w:rFonts w:hint="eastAsia" w:ascii="楷体" w:hAnsi="楷体" w:eastAsia="楷体"/>
              <w:szCs w:val="32"/>
            </w:rPr>
            <w:t>性能</w:t>
          </w:r>
          <w:r>
            <w:tab/>
          </w:r>
          <w:r>
            <w:fldChar w:fldCharType="begin"/>
          </w:r>
          <w:r>
            <w:instrText xml:space="preserve"> PAGEREF _Toc1236205703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_Toc4965596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cs="Times New Roman"/>
              <w:szCs w:val="44"/>
            </w:rPr>
            <w:t>2.</w:t>
          </w:r>
          <w:r>
            <w:rPr>
              <w:rFonts w:hint="eastAsia" w:ascii="楷体" w:hAnsi="楷体" w:eastAsia="楷体"/>
              <w:szCs w:val="44"/>
            </w:rPr>
            <w:t>管理员端</w:t>
          </w:r>
          <w:r>
            <w:tab/>
          </w:r>
          <w:r>
            <w:fldChar w:fldCharType="begin"/>
          </w:r>
          <w:r>
            <w:instrText xml:space="preserve"> PAGEREF _Toc4965596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_Toc1852393386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2.1</w:t>
          </w:r>
          <w:r>
            <w:rPr>
              <w:rFonts w:hint="eastAsia" w:ascii="楷体" w:hAnsi="楷体" w:eastAsia="楷体"/>
              <w:szCs w:val="32"/>
            </w:rPr>
            <w:t>登录注册</w:t>
          </w:r>
          <w:r>
            <w:tab/>
          </w:r>
          <w:r>
            <w:fldChar w:fldCharType="begin"/>
          </w:r>
          <w:r>
            <w:instrText xml:space="preserve"> PAGEREF _Toc1852393386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_Toc1105207943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2.2</w:t>
          </w:r>
          <w:r>
            <w:rPr>
              <w:rFonts w:hint="eastAsia" w:ascii="楷体" w:hAnsi="楷体" w:eastAsia="楷体"/>
              <w:szCs w:val="32"/>
            </w:rPr>
            <w:t>控制台信息查看</w:t>
          </w:r>
          <w:r>
            <w:tab/>
          </w:r>
          <w:r>
            <w:fldChar w:fldCharType="begin"/>
          </w:r>
          <w:r>
            <w:instrText xml:space="preserve"> PAGEREF _Toc1105207943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_Toc1643835098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2.3</w:t>
          </w:r>
          <w:r>
            <w:rPr>
              <w:rFonts w:hint="eastAsia" w:ascii="楷体" w:hAnsi="楷体" w:eastAsia="楷体"/>
              <w:szCs w:val="32"/>
            </w:rPr>
            <w:t>交易记录查看</w:t>
          </w:r>
          <w:r>
            <w:tab/>
          </w:r>
          <w:r>
            <w:fldChar w:fldCharType="begin"/>
          </w:r>
          <w:r>
            <w:instrText xml:space="preserve"> PAGEREF _Toc1643835098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_Toc559373431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2.4</w:t>
          </w:r>
          <w:r>
            <w:rPr>
              <w:rFonts w:hint="eastAsia" w:ascii="楷体" w:hAnsi="楷体" w:eastAsia="楷体"/>
              <w:szCs w:val="32"/>
            </w:rPr>
            <w:t>碳核算数据查看</w:t>
          </w:r>
          <w:r>
            <w:tab/>
          </w:r>
          <w:r>
            <w:fldChar w:fldCharType="begin"/>
          </w:r>
          <w:r>
            <w:instrText xml:space="preserve"> PAGEREF _Toc559373431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_Toc1853331898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2.5</w:t>
          </w:r>
          <w:r>
            <w:rPr>
              <w:rFonts w:hint="eastAsia" w:ascii="楷体" w:hAnsi="楷体" w:eastAsia="楷体"/>
              <w:szCs w:val="32"/>
            </w:rPr>
            <w:t>用户账户查看</w:t>
          </w:r>
          <w:r>
            <w:tab/>
          </w:r>
          <w:r>
            <w:fldChar w:fldCharType="begin"/>
          </w:r>
          <w:r>
            <w:instrText xml:space="preserve"> PAGEREF _Toc1853331898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_Toc1846393598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2.6</w:t>
          </w:r>
          <w:r>
            <w:rPr>
              <w:rFonts w:hint="eastAsia" w:ascii="楷体" w:hAnsi="楷体" w:eastAsia="楷体"/>
              <w:szCs w:val="32"/>
            </w:rPr>
            <w:t>账户审核并分发碳币碳额度</w:t>
          </w:r>
          <w:r>
            <w:tab/>
          </w:r>
          <w:r>
            <w:fldChar w:fldCharType="begin"/>
          </w:r>
          <w:r>
            <w:instrText xml:space="preserve"> PAGEREF _Toc1846393598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_Toc1198502436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2.7</w:t>
          </w:r>
          <w:r>
            <w:rPr>
              <w:rFonts w:hint="eastAsia" w:ascii="楷体" w:hAnsi="楷体" w:eastAsia="楷体"/>
              <w:szCs w:val="32"/>
            </w:rPr>
            <w:t>智能合约撰写</w:t>
          </w:r>
          <w:r>
            <w:tab/>
          </w:r>
          <w:r>
            <w:fldChar w:fldCharType="begin"/>
          </w:r>
          <w:r>
            <w:instrText xml:space="preserve"> PAGEREF _Toc1198502436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_Toc1981316639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2.8</w:t>
          </w:r>
          <w:r>
            <w:rPr>
              <w:rFonts w:hint="eastAsia" w:ascii="楷体" w:hAnsi="楷体" w:eastAsia="楷体"/>
              <w:szCs w:val="32"/>
            </w:rPr>
            <w:t>合约管理</w:t>
          </w:r>
          <w:r>
            <w:tab/>
          </w:r>
          <w:r>
            <w:fldChar w:fldCharType="begin"/>
          </w:r>
          <w:r>
            <w:instrText xml:space="preserve"> PAGEREF _Toc1981316639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_Toc1107321291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2.9</w:t>
          </w:r>
          <w:r>
            <w:rPr>
              <w:rFonts w:hint="eastAsia" w:ascii="楷体" w:hAnsi="楷体" w:eastAsia="楷体"/>
              <w:szCs w:val="32"/>
            </w:rPr>
            <w:t>区块链浏览器</w:t>
          </w:r>
          <w:r>
            <w:tab/>
          </w:r>
          <w:r>
            <w:fldChar w:fldCharType="begin"/>
          </w:r>
          <w:r>
            <w:instrText xml:space="preserve"> PAGEREF _Toc1107321291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r>
            <w:rPr>
              <w:bCs/>
            </w:rPr>
            <w:fldChar w:fldCharType="end"/>
          </w:r>
        </w:p>
      </w:sdtContent>
    </w:sdt>
    <w:p/>
    <w:p>
      <w:pPr>
        <w:pStyle w:val="2"/>
        <w:rPr>
          <w:rFonts w:ascii="Times New Roman" w:hAnsi="Times New Roman" w:eastAsia="楷体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sectPr>
          <w:footerReference r:id="rId7" w:type="first"/>
          <w:footerReference r:id="rId5" w:type="default"/>
          <w:footerReference r:id="rId6" w:type="even"/>
          <w:pgSz w:w="11906" w:h="16838"/>
          <w:pgMar w:top="1440" w:right="1800" w:bottom="1440" w:left="1800" w:header="851" w:footer="992" w:gutter="0"/>
          <w:pgNumType w:start="0"/>
          <w:cols w:space="425" w:num="1"/>
          <w:titlePg/>
          <w:docGrid w:type="lines" w:linePitch="312" w:charSpace="0"/>
        </w:sectPr>
      </w:pPr>
    </w:p>
    <w:p>
      <w:pPr>
        <w:pStyle w:val="2"/>
        <w:rPr>
          <w:rFonts w:ascii="楷体" w:hAnsi="楷体" w:eastAsia="楷体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bookmarkStart w:id="0" w:name="_Toc1470143203"/>
      <w:r>
        <w:rPr>
          <w:rFonts w:ascii="Times New Roman" w:hAnsi="Times New Roman" w:eastAsia="楷体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1.</w:t>
      </w:r>
      <w:r>
        <w:rPr>
          <w:rFonts w:hint="eastAsia" w:ascii="楷体" w:hAnsi="楷体" w:eastAsia="楷体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软件概述</w:t>
      </w:r>
      <w:bookmarkEnd w:id="0"/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1" w:name="_Toc1897454086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1.1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概述</w:t>
      </w:r>
      <w:bookmarkEnd w:id="1"/>
    </w:p>
    <w:p>
      <w:pPr>
        <w:ind w:firstLine="420"/>
        <w:rPr>
          <w:rFonts w:ascii="楷体" w:hAnsi="楷体" w:eastAsia="楷体"/>
          <w:sz w:val="24"/>
        </w:rPr>
      </w:pPr>
      <w:r>
        <w:rPr>
          <w:rFonts w:ascii="楷体" w:hAnsi="楷体" w:eastAsia="楷体" w:cs="Segoe UI"/>
          <w:color w:val="0D0D0D"/>
          <w:sz w:val="24"/>
          <w:shd w:val="clear" w:color="auto" w:fill="FFFFFF"/>
        </w:rPr>
        <w:t>碳链记管理员端构建了专业化管理工具，为</w:t>
      </w:r>
      <w:r>
        <w:rPr>
          <w:rFonts w:hint="eastAsia" w:ascii="楷体" w:hAnsi="楷体" w:eastAsia="楷体" w:cs="Segoe UI"/>
          <w:color w:val="0D0D0D"/>
          <w:sz w:val="24"/>
          <w:shd w:val="clear" w:color="auto" w:fill="FFFFFF"/>
        </w:rPr>
        <w:t>碳核算和</w:t>
      </w:r>
      <w:r>
        <w:rPr>
          <w:rFonts w:ascii="楷体" w:hAnsi="楷体" w:eastAsia="楷体" w:cs="Segoe UI"/>
          <w:color w:val="0D0D0D"/>
          <w:sz w:val="24"/>
          <w:shd w:val="clear" w:color="auto" w:fill="FFFFFF"/>
        </w:rPr>
        <w:t>碳交易生态提供了智能化解决方案。通过用户审核、碳币碳额度的分发、数据溯源查看、合约智能生成和合约管理等功能，管理员能够高效管理</w:t>
      </w:r>
      <w:r>
        <w:rPr>
          <w:rFonts w:hint="eastAsia" w:ascii="楷体" w:hAnsi="楷体" w:eastAsia="楷体" w:cs="Segoe UI"/>
          <w:color w:val="0D0D0D"/>
          <w:sz w:val="24"/>
          <w:shd w:val="clear" w:color="auto" w:fill="FFFFFF"/>
        </w:rPr>
        <w:t>碳核算和</w:t>
      </w:r>
      <w:r>
        <w:rPr>
          <w:rFonts w:ascii="楷体" w:hAnsi="楷体" w:eastAsia="楷体" w:cs="Segoe UI"/>
          <w:color w:val="0D0D0D"/>
          <w:sz w:val="24"/>
          <w:shd w:val="clear" w:color="auto" w:fill="FFFFFF"/>
        </w:rPr>
        <w:t>碳交易流程，确保交易过程更加透明、高效和安全</w:t>
      </w:r>
      <w:r>
        <w:rPr>
          <w:rFonts w:hint="eastAsia" w:ascii="楷体" w:hAnsi="楷体" w:eastAsia="楷体" w:cs="Segoe UI"/>
          <w:color w:val="0D0D0D"/>
          <w:sz w:val="24"/>
          <w:shd w:val="clear" w:color="auto" w:fill="FFFFFF"/>
        </w:rPr>
        <w:t>。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2" w:name="_Toc378665452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1.2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功能</w:t>
      </w:r>
      <w:bookmarkEnd w:id="2"/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1、</w:t>
      </w:r>
      <w:r>
        <w:rPr>
          <w:rFonts w:hint="eastAsia" w:ascii="楷体" w:hAnsi="楷体" w:eastAsia="楷体"/>
          <w:sz w:val="24"/>
        </w:rPr>
        <w:t>管理员可以溯源查看所有的交易记录。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2、</w:t>
      </w:r>
      <w:r>
        <w:rPr>
          <w:rFonts w:hint="eastAsia" w:ascii="楷体" w:hAnsi="楷体" w:eastAsia="楷体"/>
          <w:sz w:val="24"/>
        </w:rPr>
        <w:t>管理员可以溯源查看所有的碳核算数据。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3、</w:t>
      </w:r>
      <w:r>
        <w:rPr>
          <w:rFonts w:hint="eastAsia" w:ascii="楷体" w:hAnsi="楷体" w:eastAsia="楷体"/>
          <w:sz w:val="24"/>
        </w:rPr>
        <w:t>管理员可以审核用户账户。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4、</w:t>
      </w:r>
      <w:r>
        <w:rPr>
          <w:rFonts w:hint="eastAsia" w:ascii="楷体" w:hAnsi="楷体" w:eastAsia="楷体"/>
          <w:sz w:val="24"/>
        </w:rPr>
        <w:t>管理员可以给审核通过的企业账户分发碳币和碳额度。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5、</w:t>
      </w:r>
      <w:r>
        <w:rPr>
          <w:rFonts w:hint="eastAsia" w:ascii="楷体" w:hAnsi="楷体" w:eastAsia="楷体"/>
          <w:sz w:val="24"/>
        </w:rPr>
        <w:t>管理员可以使用智能合约生成助手，根据需求智能撰写合约。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6、</w:t>
      </w:r>
      <w:r>
        <w:rPr>
          <w:rFonts w:hint="eastAsia" w:ascii="楷体" w:hAnsi="楷体" w:eastAsia="楷体"/>
          <w:sz w:val="24"/>
        </w:rPr>
        <w:t>管理员可以管理合约，将其部署上链，或冻结、注销、升级。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3" w:name="_Toc1236205703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1.3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性能</w:t>
      </w:r>
      <w:bookmarkEnd w:id="3"/>
    </w:p>
    <w:p>
      <w:pPr>
        <w:ind w:firstLine="420"/>
        <w:rPr>
          <w:rFonts w:ascii="楷体" w:hAnsi="楷体" w:eastAsia="楷体" w:cs="Segoe UI"/>
          <w:color w:val="0D0D0D"/>
          <w:sz w:val="24"/>
          <w:shd w:val="clear" w:color="auto" w:fill="FFFFFF"/>
        </w:rPr>
      </w:pPr>
      <w:r>
        <w:rPr>
          <w:rFonts w:ascii="楷体" w:hAnsi="楷体" w:eastAsia="楷体" w:cs="Segoe UI"/>
          <w:color w:val="0D0D0D"/>
          <w:sz w:val="24"/>
          <w:shd w:val="clear" w:color="auto" w:fill="FFFFFF"/>
        </w:rPr>
        <w:t>碳链记管理员端拥有</w:t>
      </w:r>
      <w:r>
        <w:rPr>
          <w:rFonts w:hint="eastAsia" w:ascii="楷体" w:hAnsi="楷体" w:eastAsia="楷体" w:cs="Segoe UI"/>
          <w:color w:val="0D0D0D"/>
          <w:sz w:val="24"/>
          <w:shd w:val="clear" w:color="auto" w:fill="FFFFFF"/>
        </w:rPr>
        <w:t>良好</w:t>
      </w:r>
      <w:r>
        <w:rPr>
          <w:rFonts w:ascii="楷体" w:hAnsi="楷体" w:eastAsia="楷体" w:cs="Segoe UI"/>
          <w:color w:val="0D0D0D"/>
          <w:sz w:val="24"/>
          <w:shd w:val="clear" w:color="auto" w:fill="FFFFFF"/>
        </w:rPr>
        <w:t>的易用性和可靠性，同时确保信息的安全性和保密性，为用户提供稳定可靠的服务。</w:t>
      </w:r>
    </w:p>
    <w:p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>
      <w:pPr>
        <w:pStyle w:val="2"/>
        <w:rPr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bookmarkStart w:id="4" w:name="_Toc4965596"/>
      <w:r>
        <w:rPr>
          <w:rFonts w:ascii="Times New Roman" w:hAnsi="Times New Roman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2.</w:t>
      </w:r>
      <w:r>
        <w:rPr>
          <w:rFonts w:hint="eastAsia" w:ascii="楷体" w:hAnsi="楷体" w:eastAsia="楷体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管理员端</w:t>
      </w:r>
      <w:bookmarkEnd w:id="4"/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5" w:name="_Toc1852393386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2.1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登录注册</w:t>
      </w:r>
      <w:bookmarkEnd w:id="5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进入管理员端，在登录页面进行登录或者注册操作。</w:t>
      </w:r>
    </w:p>
    <w:p>
      <w:r>
        <w:drawing>
          <wp:inline distT="0" distB="0" distL="0" distR="0">
            <wp:extent cx="5274310" cy="2849880"/>
            <wp:effectExtent l="0" t="0" r="0" b="0"/>
            <wp:docPr id="173544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4950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图2.1登录界面</w:t>
      </w:r>
    </w:p>
    <w:p>
      <w:r>
        <w:drawing>
          <wp:inline distT="0" distB="0" distL="0" distR="0">
            <wp:extent cx="5274310" cy="2846070"/>
            <wp:effectExtent l="0" t="0" r="0" b="0"/>
            <wp:docPr id="2113430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3013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图2.2注册界面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6" w:name="_Toc1105207943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2.2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控制台信息查看</w:t>
      </w:r>
      <w:bookmarkEnd w:id="6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输入正确的用户名和密码后，点击“立即登录”，进入管理员端主界面。</w:t>
      </w:r>
    </w:p>
    <w:p>
      <w:r>
        <w:drawing>
          <wp:inline distT="0" distB="0" distL="0" distR="0">
            <wp:extent cx="5274310" cy="2825115"/>
            <wp:effectExtent l="0" t="0" r="0" b="0"/>
            <wp:docPr id="542731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31428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图2.3控制台界面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7" w:name="_Toc1643835098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2.3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交易记录查看</w:t>
      </w:r>
      <w:bookmarkEnd w:id="7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点击“用户审核-交易数据”，进入页面，可查看所有用户的交易记录。</w:t>
      </w:r>
    </w:p>
    <w:p>
      <w:r>
        <w:drawing>
          <wp:inline distT="0" distB="0" distL="0" distR="0">
            <wp:extent cx="5274310" cy="2833370"/>
            <wp:effectExtent l="0" t="0" r="0" b="0"/>
            <wp:docPr id="1013983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8390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图2.4交易数据界面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输入公司编号，可查询某个公司的所有交易信息。</w:t>
      </w:r>
    </w:p>
    <w:p>
      <w:r>
        <w:drawing>
          <wp:inline distT="0" distB="0" distL="0" distR="0">
            <wp:extent cx="5274310" cy="2849880"/>
            <wp:effectExtent l="0" t="0" r="0" b="0"/>
            <wp:docPr id="666842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4220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图2.5交易数据筛选界面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点击“详情”按钮，可查看详细的交易信息。</w:t>
      </w:r>
    </w:p>
    <w:p>
      <w:r>
        <w:drawing>
          <wp:inline distT="0" distB="0" distL="0" distR="0">
            <wp:extent cx="5274310" cy="2849880"/>
            <wp:effectExtent l="0" t="0" r="0" b="0"/>
            <wp:docPr id="1817972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7257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图2.6交易数据详情界面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8" w:name="_Toc559373431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2.4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碳核算数据查看</w:t>
      </w:r>
      <w:bookmarkEnd w:id="8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点击“用户审核-碳核算数据”，进入页面，可查看所有企业的碳核算申报数据。</w:t>
      </w:r>
    </w:p>
    <w:p>
      <w:r>
        <w:drawing>
          <wp:inline distT="0" distB="0" distL="0" distR="0">
            <wp:extent cx="5274310" cy="2849880"/>
            <wp:effectExtent l="0" t="0" r="0" b="0"/>
            <wp:docPr id="1906561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6164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图2.7碳核算数据界面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输入公司编号，可查询某个公司的所有碳核算信息。</w:t>
      </w:r>
    </w:p>
    <w:p>
      <w:r>
        <w:drawing>
          <wp:inline distT="0" distB="0" distL="0" distR="0">
            <wp:extent cx="5274310" cy="2849880"/>
            <wp:effectExtent l="0" t="0" r="0" b="0"/>
            <wp:docPr id="1186162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6220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图2.8碳核算数据筛选界面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点击“溯源”按钮，可溯源查看公司的详细交易信息。</w:t>
      </w:r>
    </w:p>
    <w:p>
      <w:r>
        <w:drawing>
          <wp:inline distT="0" distB="0" distL="0" distR="0">
            <wp:extent cx="5274310" cy="2849880"/>
            <wp:effectExtent l="0" t="0" r="0" b="0"/>
            <wp:docPr id="1650963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6354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图2.9碳核算数据溯源首页界面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在溯源首页，将展示该公司最近的一条记录，点击“更多”，将展示该公司所有的记录。</w:t>
      </w:r>
    </w:p>
    <w:p>
      <w:r>
        <w:drawing>
          <wp:inline distT="0" distB="0" distL="0" distR="0">
            <wp:extent cx="5274310" cy="2846070"/>
            <wp:effectExtent l="0" t="0" r="0" b="0"/>
            <wp:docPr id="1127383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8316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图2.10碳核算数据溯源更多界面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点击“溯源”按钮，进一步查看该条记录的详细信息。</w:t>
      </w:r>
    </w:p>
    <w:p>
      <w:r>
        <w:drawing>
          <wp:inline distT="0" distB="0" distL="0" distR="0">
            <wp:extent cx="5274310" cy="2842260"/>
            <wp:effectExtent l="0" t="0" r="0" b="2540"/>
            <wp:docPr id="1281135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3595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图2.11碳核算数据溯源详情界面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点击“溯源详情”按钮，查看具体的碳排放信息。</w:t>
      </w:r>
    </w:p>
    <w:p>
      <w:r>
        <w:drawing>
          <wp:inline distT="0" distB="0" distL="0" distR="0">
            <wp:extent cx="5274310" cy="2849880"/>
            <wp:effectExtent l="0" t="0" r="0" b="0"/>
            <wp:docPr id="1269065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6528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图2.12碳核算数据溯源数据界面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9" w:name="_Toc1853331898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2.5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用户账户查看</w:t>
      </w:r>
      <w:bookmarkEnd w:id="9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点击“用户管理-用户请求”，进入页面，可查看所有用户的账户审核情况。</w:t>
      </w:r>
    </w:p>
    <w:p>
      <w:r>
        <w:drawing>
          <wp:inline distT="0" distB="0" distL="0" distR="0">
            <wp:extent cx="5274310" cy="2849880"/>
            <wp:effectExtent l="0" t="0" r="0" b="0"/>
            <wp:docPr id="1339432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3275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图2.13用户请求界面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10" w:name="_Toc1846393598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2.6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账户审核并分发碳币碳额度</w:t>
      </w:r>
      <w:bookmarkEnd w:id="10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点击“用户管理-用户查看”，进入页面，可查看到所有用户的账户。管理员需进行账户审核，并给审核通过的企业分发碳币和碳额度。</w:t>
      </w:r>
    </w:p>
    <w:p>
      <w:r>
        <w:drawing>
          <wp:inline distT="0" distB="0" distL="0" distR="0">
            <wp:extent cx="5274310" cy="2849880"/>
            <wp:effectExtent l="0" t="0" r="0" b="0"/>
            <wp:docPr id="231063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63186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图2.14用户审核界面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点击“审核通过”按钮，如果是企业账户，则可以分发碳币和碳额度。</w:t>
      </w:r>
    </w:p>
    <w:p>
      <w:r>
        <w:drawing>
          <wp:inline distT="0" distB="0" distL="0" distR="0">
            <wp:extent cx="5274310" cy="2849880"/>
            <wp:effectExtent l="0" t="0" r="0" b="0"/>
            <wp:docPr id="388961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6119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图2.15企业账户分发碳币碳额度界面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点击“审核通过”按钮，如果是数据审核员、第三方监管机构、管理员账户，则不可以分发碳币和碳额度。</w:t>
      </w:r>
    </w:p>
    <w:p>
      <w:r>
        <w:drawing>
          <wp:inline distT="0" distB="0" distL="0" distR="0">
            <wp:extent cx="5274310" cy="2849880"/>
            <wp:effectExtent l="0" t="0" r="0" b="0"/>
            <wp:docPr id="879811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1134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图2.16其他账户分发碳币碳额度界面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11" w:name="_Toc1198502436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2.7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智能合约撰写</w:t>
      </w:r>
      <w:bookmarkEnd w:id="11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点击“合约撰写”，进入页面，管理员可使用智能合约生成助手，输入需求后，系统可自动生成智能合约。</w:t>
      </w:r>
    </w:p>
    <w:p>
      <w:r>
        <w:rPr>
          <w:rFonts w:ascii="Times New Roman Regular" w:hAnsi="Times New Roman Regular" w:cs="Times New Roman Regular"/>
        </w:rPr>
        <w:drawing>
          <wp:inline distT="0" distB="0" distL="114300" distR="114300">
            <wp:extent cx="5266690" cy="2966085"/>
            <wp:effectExtent l="0" t="0" r="16510" b="5715"/>
            <wp:docPr id="11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图2.17智能合约撰写界面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12" w:name="_Toc1981316639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2.8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合约管理</w:t>
      </w:r>
      <w:bookmarkEnd w:id="12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点击“合约管理”，进入页面，可查看所有的智能合约信息。</w:t>
      </w:r>
    </w:p>
    <w:p>
      <w:r>
        <w:drawing>
          <wp:inline distT="0" distB="0" distL="0" distR="0">
            <wp:extent cx="5274310" cy="2842260"/>
            <wp:effectExtent l="0" t="0" r="0" b="2540"/>
            <wp:docPr id="752157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5776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图2.18合约管理界面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点击“部署合约”按钮，管理员可将撰写好的合约在此部署上链。</w:t>
      </w:r>
    </w:p>
    <w:p>
      <w:r>
        <w:drawing>
          <wp:inline distT="0" distB="0" distL="0" distR="0">
            <wp:extent cx="5274310" cy="2846070"/>
            <wp:effectExtent l="0" t="0" r="0" b="0"/>
            <wp:docPr id="539477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7796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图2.19合约部署界面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点击“冻结”按钮，填写信息后，可将合约冻结。</w:t>
      </w:r>
    </w:p>
    <w:p>
      <w:r>
        <w:drawing>
          <wp:inline distT="0" distB="0" distL="0" distR="0">
            <wp:extent cx="5274310" cy="2844165"/>
            <wp:effectExtent l="0" t="0" r="0" b="635"/>
            <wp:docPr id="79500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044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图2.20合约冻结界面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点击“注销”按钮，填写信息后，可将合约注销。</w:t>
      </w:r>
    </w:p>
    <w:p>
      <w:r>
        <w:drawing>
          <wp:inline distT="0" distB="0" distL="0" distR="0">
            <wp:extent cx="5274310" cy="2846070"/>
            <wp:effectExtent l="0" t="0" r="0" b="0"/>
            <wp:docPr id="755276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76530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图2.21合约注销界面</w:t>
      </w:r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点击“升级”按钮，填写信息后，可将合约升级。</w:t>
      </w:r>
    </w:p>
    <w:p>
      <w:r>
        <w:drawing>
          <wp:inline distT="0" distB="0" distL="0" distR="0">
            <wp:extent cx="5274310" cy="2854960"/>
            <wp:effectExtent l="0" t="0" r="0" b="2540"/>
            <wp:docPr id="531271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1966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图2.22合约升级界面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13" w:name="_Toc1107321291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2.9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区块链浏览器</w:t>
      </w:r>
      <w:bookmarkEnd w:id="13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点击“进入区块链浏览器”按钮，进入区块链浏览器，可查看详细的区块信息、交易信息和合约信息。</w:t>
      </w:r>
    </w:p>
    <w:p>
      <w:r>
        <w:drawing>
          <wp:inline distT="0" distB="0" distL="0" distR="0">
            <wp:extent cx="5274310" cy="2849880"/>
            <wp:effectExtent l="0" t="0" r="0" b="0"/>
            <wp:docPr id="662869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6948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图2.23区块链浏览器进入界面</w:t>
      </w:r>
    </w:p>
    <w:p>
      <w:r>
        <w:drawing>
          <wp:inline distT="0" distB="0" distL="0" distR="0">
            <wp:extent cx="5274310" cy="2853055"/>
            <wp:effectExtent l="0" t="0" r="0" b="4445"/>
            <wp:docPr id="1269303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0366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图2.24区块链浏览器首页界面</w:t>
      </w:r>
    </w:p>
    <w:p>
      <w:pPr>
        <w:ind w:firstLine="420"/>
        <w:rPr>
          <w:rFonts w:hint="eastAsia" w:ascii="Times New Roman" w:hAnsi="Times New Roman" w:eastAsia="楷体" w:cs="楷体"/>
          <w:bCs/>
          <w:sz w:val="24"/>
        </w:rPr>
      </w:pPr>
      <w:r>
        <w:rPr>
          <w:rFonts w:hint="eastAsia" w:ascii="Times New Roman" w:hAnsi="Times New Roman" w:eastAsia="楷体" w:cs="楷体"/>
          <w:bCs/>
          <w:sz w:val="24"/>
        </w:rPr>
        <w:t>点击首页的“区块高度”按钮，进入“区块列表”，查看所有区块信息。</w:t>
      </w:r>
    </w:p>
    <w:p>
      <w:pPr>
        <w:rPr>
          <w:rFonts w:ascii="Times New Roman" w:hAnsi="Times New Roman" w:eastAsia="楷体"/>
          <w:bCs/>
        </w:rPr>
      </w:pPr>
      <w:r>
        <w:rPr>
          <w:rFonts w:ascii="Times New Roman" w:hAnsi="Times New Roman" w:eastAsia="楷体"/>
          <w:bCs/>
        </w:rPr>
        <w:drawing>
          <wp:inline distT="0" distB="0" distL="0" distR="0">
            <wp:extent cx="5274310" cy="2846070"/>
            <wp:effectExtent l="0" t="0" r="0" b="0"/>
            <wp:docPr id="1405993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37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图2.25区块链浏览器区块列表界面</w:t>
      </w:r>
    </w:p>
    <w:p>
      <w:pPr>
        <w:ind w:firstLine="420"/>
        <w:rPr>
          <w:rFonts w:hint="eastAsia" w:ascii="Times New Roman" w:hAnsi="Times New Roman" w:eastAsia="楷体" w:cs="楷体"/>
          <w:bCs/>
          <w:sz w:val="24"/>
        </w:rPr>
      </w:pPr>
      <w:r>
        <w:rPr>
          <w:rFonts w:hint="eastAsia" w:ascii="Times New Roman" w:hAnsi="Times New Roman" w:eastAsia="楷体" w:cs="楷体"/>
          <w:bCs/>
          <w:sz w:val="24"/>
        </w:rPr>
        <w:t>点击“区块Hash”，进入该区块的详情界面，查看区块详细信息。</w:t>
      </w:r>
    </w:p>
    <w:p>
      <w:pPr>
        <w:rPr>
          <w:rFonts w:ascii="Times New Roman" w:hAnsi="Times New Roman" w:eastAsia="楷体"/>
          <w:bCs/>
        </w:rPr>
      </w:pPr>
      <w:r>
        <w:rPr>
          <w:rFonts w:ascii="Times New Roman" w:hAnsi="Times New Roman" w:eastAsia="楷体"/>
          <w:bCs/>
        </w:rPr>
        <w:drawing>
          <wp:inline distT="0" distB="0" distL="0" distR="0">
            <wp:extent cx="5274310" cy="2849880"/>
            <wp:effectExtent l="0" t="0" r="0" b="0"/>
            <wp:docPr id="918145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4539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图2.26区块链浏览器区块详情界面</w:t>
      </w:r>
    </w:p>
    <w:p>
      <w:pPr>
        <w:ind w:firstLine="420"/>
        <w:rPr>
          <w:rFonts w:hint="eastAsia" w:ascii="Times New Roman" w:hAnsi="Times New Roman" w:eastAsia="楷体" w:cs="楷体"/>
          <w:bCs/>
          <w:sz w:val="24"/>
        </w:rPr>
      </w:pPr>
      <w:r>
        <w:rPr>
          <w:rFonts w:hint="eastAsia" w:ascii="Times New Roman" w:hAnsi="Times New Roman" w:eastAsia="楷体" w:cs="楷体"/>
          <w:bCs/>
          <w:sz w:val="24"/>
        </w:rPr>
        <w:t>点击首页的“累计交易数”按钮，进入“交易列表”，查看所有交易信息。</w:t>
      </w:r>
    </w:p>
    <w:p>
      <w:pPr>
        <w:rPr>
          <w:rFonts w:ascii="Times New Roman" w:hAnsi="Times New Roman" w:eastAsia="楷体"/>
          <w:bCs/>
        </w:rPr>
      </w:pPr>
      <w:r>
        <w:rPr>
          <w:rFonts w:ascii="Times New Roman" w:hAnsi="Times New Roman" w:eastAsia="楷体"/>
          <w:bCs/>
        </w:rPr>
        <w:drawing>
          <wp:inline distT="0" distB="0" distL="0" distR="0">
            <wp:extent cx="5274310" cy="2853055"/>
            <wp:effectExtent l="0" t="0" r="0" b="4445"/>
            <wp:docPr id="190511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1391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图2.27区块链浏览器交易列表界面</w:t>
      </w:r>
    </w:p>
    <w:p>
      <w:pPr>
        <w:ind w:firstLine="420"/>
        <w:rPr>
          <w:rFonts w:hint="eastAsia" w:ascii="Times New Roman" w:hAnsi="Times New Roman" w:eastAsia="楷体" w:cs="楷体"/>
          <w:bCs/>
          <w:sz w:val="24"/>
        </w:rPr>
      </w:pPr>
      <w:r>
        <w:rPr>
          <w:rFonts w:hint="eastAsia" w:ascii="Times New Roman" w:hAnsi="Times New Roman" w:eastAsia="楷体" w:cs="楷体"/>
          <w:bCs/>
          <w:sz w:val="24"/>
        </w:rPr>
        <w:t>点击“交易Id</w:t>
      </w:r>
      <w:r>
        <w:rPr>
          <w:rFonts w:ascii="Times New Roman" w:hAnsi="Times New Roman" w:eastAsia="楷体" w:cs="楷体"/>
          <w:bCs/>
          <w:sz w:val="24"/>
        </w:rPr>
        <w:t xml:space="preserve"> ”</w:t>
      </w:r>
      <w:r>
        <w:rPr>
          <w:rFonts w:hint="eastAsia" w:ascii="Times New Roman" w:hAnsi="Times New Roman" w:eastAsia="楷体" w:cs="楷体"/>
          <w:bCs/>
          <w:sz w:val="24"/>
        </w:rPr>
        <w:t>，进入该区块，显示该区块的详细交易信息。</w:t>
      </w:r>
    </w:p>
    <w:p>
      <w:pPr>
        <w:rPr>
          <w:rFonts w:ascii="Times New Roman" w:hAnsi="Times New Roman" w:eastAsia="楷体"/>
          <w:bCs/>
        </w:rPr>
      </w:pPr>
      <w:r>
        <w:rPr>
          <w:rFonts w:ascii="Times New Roman" w:hAnsi="Times New Roman" w:eastAsia="楷体"/>
          <w:bCs/>
        </w:rPr>
        <w:drawing>
          <wp:inline distT="0" distB="0" distL="0" distR="0">
            <wp:extent cx="5274310" cy="2849880"/>
            <wp:effectExtent l="0" t="0" r="0" b="0"/>
            <wp:docPr id="1176268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6894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图2.28区块链浏览器交易详情界面</w:t>
      </w:r>
    </w:p>
    <w:p>
      <w:pPr>
        <w:ind w:firstLine="420"/>
        <w:rPr>
          <w:rFonts w:hint="eastAsia" w:ascii="Times New Roman" w:hAnsi="Times New Roman" w:eastAsia="楷体" w:cs="楷体"/>
          <w:bCs/>
          <w:sz w:val="24"/>
        </w:rPr>
      </w:pPr>
      <w:r>
        <w:rPr>
          <w:rFonts w:hint="eastAsia" w:ascii="Times New Roman" w:hAnsi="Times New Roman" w:eastAsia="楷体" w:cs="楷体"/>
          <w:bCs/>
          <w:sz w:val="24"/>
        </w:rPr>
        <w:t>点击首页的“累计合约数”按钮，进入“合约列表”，查看所有智能合约。</w:t>
      </w:r>
    </w:p>
    <w:p>
      <w:pPr>
        <w:rPr>
          <w:rFonts w:ascii="Times New Roman" w:hAnsi="Times New Roman" w:eastAsia="楷体"/>
          <w:bCs/>
        </w:rPr>
      </w:pPr>
      <w:r>
        <w:rPr>
          <w:rFonts w:ascii="Times New Roman" w:hAnsi="Times New Roman" w:eastAsia="楷体"/>
          <w:bCs/>
        </w:rPr>
        <w:drawing>
          <wp:inline distT="0" distB="0" distL="0" distR="0">
            <wp:extent cx="5274310" cy="2853055"/>
            <wp:effectExtent l="0" t="0" r="0" b="4445"/>
            <wp:docPr id="157138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188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图2.29区块链浏览器合约列表界面</w:t>
      </w:r>
    </w:p>
    <w:p>
      <w:pPr>
        <w:rPr>
          <w:rFonts w:hint="eastAsia" w:ascii="Times New Roman" w:hAnsi="Times New Roman" w:eastAsia="楷体" w:cs="楷体"/>
          <w:bCs/>
          <w:sz w:val="24"/>
        </w:rPr>
      </w:pPr>
      <w:r>
        <w:rPr>
          <w:rFonts w:hint="eastAsia" w:ascii="Times New Roman" w:hAnsi="Times New Roman" w:eastAsia="楷体" w:cs="楷体"/>
          <w:bCs/>
          <w:sz w:val="24"/>
        </w:rPr>
        <w:t>点击“合约名称”，进入相应智能合约的详情界面，展示该合约的详细信息。</w:t>
      </w:r>
    </w:p>
    <w:p>
      <w:pPr>
        <w:rPr>
          <w:rFonts w:ascii="Times New Roman" w:hAnsi="Times New Roman" w:eastAsia="楷体"/>
          <w:bCs/>
        </w:rPr>
      </w:pPr>
      <w:r>
        <w:rPr>
          <w:rFonts w:ascii="Times New Roman" w:hAnsi="Times New Roman" w:eastAsia="楷体"/>
          <w:bCs/>
        </w:rPr>
        <w:drawing>
          <wp:inline distT="0" distB="0" distL="0" distR="0">
            <wp:extent cx="5274310" cy="2849880"/>
            <wp:effectExtent l="0" t="0" r="0" b="0"/>
            <wp:docPr id="214278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8896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bookmarkStart w:id="14" w:name="_GoBack"/>
      <w:r>
        <w:rPr>
          <w:rFonts w:hint="eastAsia" w:ascii="Times New Roman" w:hAnsi="Times New Roman" w:eastAsia="楷体" w:cs="楷体"/>
          <w:bCs/>
          <w:sz w:val="21"/>
          <w:szCs w:val="21"/>
        </w:rPr>
        <w:t>图2.30区块链浏览器合约详情界面</w:t>
      </w:r>
    </w:p>
    <w:bookmarkEnd w:id="14"/>
    <w:p>
      <w:pPr>
        <w:rPr>
          <w:rFonts w:hint="eastAsia" w:ascii="Times New Roman" w:hAnsi="Times New Roman" w:eastAsia="楷体"/>
          <w:bCs/>
        </w:rPr>
      </w:pPr>
    </w:p>
    <w:sectPr>
      <w:footerReference r:id="rId9" w:type="first"/>
      <w:footerReference r:id="rId8" w:type="default"/>
      <w:pgSz w:w="11906" w:h="16838"/>
      <w:pgMar w:top="1440" w:right="1800" w:bottom="1440" w:left="1800" w:header="851" w:footer="992" w:gutter="0"/>
      <w:pgNumType w:start="1"/>
      <w:cols w:space="425" w:num="1"/>
      <w:titlePg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00000000" w:usb1="00000000" w:usb2="00000000" w:usb3="00000000" w:csb0="00000000" w:csb1="00000000"/>
  </w:font>
  <w:font w:name="宋体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苹方-简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楷体">
    <w:altName w:val="楷体-简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楷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Segoe UI">
    <w:altName w:val="苹方-简"/>
    <w:panose1 w:val="020B0502040204020203"/>
    <w:charset w:val="00"/>
    <w:family w:val="swiss"/>
    <w:pitch w:val="default"/>
    <w:sig w:usb0="00000000" w:usb1="00000000" w:usb2="00000009" w:usb3="00000000" w:csb0="000001FF" w:csb1="00000000"/>
  </w:font>
  <w:font w:name="等线 Ligh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zSVju0AAAAAUBAAAPAAAAAAAAAAEAIAAAADgAAABk&#10;cnMvZG93bnJldi54bWxQSwECFAAUAAAACACHTuJAa4X5+zECAABhBAAADgAAAAAAAAABACAAAAA1&#10;AQAAZHJzL2Uyb0RvYy54bWxQSwUGAAAAAAYABgBZAQAA2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26"/>
      </w:rPr>
      <w:id w:val="-2052449523"/>
      <w:docPartObj>
        <w:docPartGallery w:val="autotext"/>
      </w:docPartObj>
    </w:sdtPr>
    <w:sdtEndPr>
      <w:rPr>
        <w:rStyle w:val="26"/>
      </w:rPr>
    </w:sdtEndPr>
    <w:sdtContent>
      <w:p>
        <w:pPr>
          <w:pStyle w:val="15"/>
          <w:framePr w:wrap="auto" w:vAnchor="text" w:hAnchor="margin" w:xAlign="center" w:y="1"/>
          <w:rPr>
            <w:rStyle w:val="26"/>
          </w:rPr>
        </w:pPr>
        <w:r>
          <w:rPr>
            <w:rStyle w:val="26"/>
          </w:rPr>
          <w:fldChar w:fldCharType="begin"/>
        </w:r>
        <w:r>
          <w:rPr>
            <w:rStyle w:val="26"/>
          </w:rPr>
          <w:instrText xml:space="preserve"> PAGE </w:instrText>
        </w:r>
        <w:r>
          <w:rPr>
            <w:rStyle w:val="26"/>
          </w:rPr>
          <w:fldChar w:fldCharType="end"/>
        </w:r>
      </w:p>
    </w:sdtContent>
  </w:sdt>
  <w:p>
    <w:pPr>
      <w:pStyle w:val="1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kgka0MQIAAGE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zSVju0AAAAAUBAAAPAAAAAAAAAAEAIAAAADgAAABk&#10;cnMvZG93bnJldi54bWxQSwECFAAUAAAACACHTuJAJIJGtDECAABhBAAADgAAAAAAAAABACAAAAA1&#10;AQAAZHJzL2Uyb0RvYy54bWxQSwUGAAAAAAYABgBZAQAA2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OGA044yAgAAY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sz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LqMOCsyAgAAY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989"/>
    <w:rsid w:val="000959DA"/>
    <w:rsid w:val="000D6D23"/>
    <w:rsid w:val="00100454"/>
    <w:rsid w:val="00105E43"/>
    <w:rsid w:val="00277068"/>
    <w:rsid w:val="002831AE"/>
    <w:rsid w:val="002957F4"/>
    <w:rsid w:val="0031351F"/>
    <w:rsid w:val="00327897"/>
    <w:rsid w:val="00372651"/>
    <w:rsid w:val="00380241"/>
    <w:rsid w:val="00432D3C"/>
    <w:rsid w:val="00544989"/>
    <w:rsid w:val="00614553"/>
    <w:rsid w:val="00615CC8"/>
    <w:rsid w:val="006E46BA"/>
    <w:rsid w:val="00704F35"/>
    <w:rsid w:val="0076424E"/>
    <w:rsid w:val="007A1300"/>
    <w:rsid w:val="00943694"/>
    <w:rsid w:val="009B6BB8"/>
    <w:rsid w:val="009C78C8"/>
    <w:rsid w:val="00AB5A59"/>
    <w:rsid w:val="00B265DC"/>
    <w:rsid w:val="00B3262D"/>
    <w:rsid w:val="00C05E46"/>
    <w:rsid w:val="00C93B73"/>
    <w:rsid w:val="00CB5923"/>
    <w:rsid w:val="00D73A57"/>
    <w:rsid w:val="00DB2D16"/>
    <w:rsid w:val="00DC1BCE"/>
    <w:rsid w:val="00DC2B6E"/>
    <w:rsid w:val="00DF2299"/>
    <w:rsid w:val="00E0406F"/>
    <w:rsid w:val="00F223C0"/>
    <w:rsid w:val="3B32DEAD"/>
    <w:rsid w:val="3DFE077F"/>
    <w:rsid w:val="4FF5E66E"/>
    <w:rsid w:val="F4F6C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31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32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</w:rPr>
  </w:style>
  <w:style w:type="paragraph" w:styleId="7">
    <w:name w:val="heading 6"/>
    <w:basedOn w:val="1"/>
    <w:next w:val="1"/>
    <w:link w:val="33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34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35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36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25">
    <w:name w:val="Default Paragraph Font"/>
    <w:semiHidden/>
    <w:unhideWhenUsed/>
    <w:uiPriority w:val="1"/>
  </w:style>
  <w:style w:type="table" w:default="1" w:styleId="2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semiHidden/>
    <w:unhideWhenUsed/>
    <w:uiPriority w:val="39"/>
    <w:pPr>
      <w:spacing w:after="0"/>
      <w:ind w:left="1320"/>
    </w:pPr>
    <w:rPr>
      <w:rFonts w:eastAsiaTheme="minorHAnsi"/>
      <w:sz w:val="18"/>
      <w:szCs w:val="18"/>
    </w:rPr>
  </w:style>
  <w:style w:type="paragraph" w:styleId="12">
    <w:name w:val="toc 5"/>
    <w:basedOn w:val="1"/>
    <w:next w:val="1"/>
    <w:semiHidden/>
    <w:unhideWhenUsed/>
    <w:uiPriority w:val="39"/>
    <w:pPr>
      <w:spacing w:after="0"/>
      <w:ind w:left="880"/>
    </w:pPr>
    <w:rPr>
      <w:rFonts w:eastAsiaTheme="minorHAnsi"/>
      <w:sz w:val="18"/>
      <w:szCs w:val="18"/>
    </w:rPr>
  </w:style>
  <w:style w:type="paragraph" w:styleId="13">
    <w:name w:val="toc 3"/>
    <w:basedOn w:val="1"/>
    <w:next w:val="1"/>
    <w:unhideWhenUsed/>
    <w:uiPriority w:val="39"/>
    <w:pPr>
      <w:spacing w:after="0"/>
      <w:ind w:left="440"/>
    </w:pPr>
    <w:rPr>
      <w:rFonts w:eastAsiaTheme="minorHAnsi"/>
      <w:i/>
      <w:iCs/>
      <w:sz w:val="20"/>
      <w:szCs w:val="20"/>
    </w:rPr>
  </w:style>
  <w:style w:type="paragraph" w:styleId="14">
    <w:name w:val="toc 8"/>
    <w:basedOn w:val="1"/>
    <w:next w:val="1"/>
    <w:semiHidden/>
    <w:unhideWhenUsed/>
    <w:uiPriority w:val="39"/>
    <w:pPr>
      <w:spacing w:after="0"/>
      <w:ind w:left="1540"/>
    </w:pPr>
    <w:rPr>
      <w:rFonts w:eastAsiaTheme="minorHAnsi"/>
      <w:sz w:val="18"/>
      <w:szCs w:val="18"/>
    </w:rPr>
  </w:style>
  <w:style w:type="paragraph" w:styleId="15">
    <w:name w:val="footer"/>
    <w:basedOn w:val="1"/>
    <w:link w:val="47"/>
    <w:unhideWhenUsed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6">
    <w:name w:val="header"/>
    <w:basedOn w:val="1"/>
    <w:link w:val="48"/>
    <w:unhideWhenUsed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7">
    <w:name w:val="toc 1"/>
    <w:basedOn w:val="1"/>
    <w:next w:val="1"/>
    <w:unhideWhenUsed/>
    <w:uiPriority w:val="39"/>
    <w:pPr>
      <w:spacing w:before="120" w:after="120"/>
    </w:pPr>
    <w:rPr>
      <w:rFonts w:eastAsiaTheme="minorHAnsi"/>
      <w:b/>
      <w:bCs/>
      <w:caps/>
      <w:sz w:val="20"/>
      <w:szCs w:val="20"/>
    </w:rPr>
  </w:style>
  <w:style w:type="paragraph" w:styleId="18">
    <w:name w:val="toc 4"/>
    <w:basedOn w:val="1"/>
    <w:next w:val="1"/>
    <w:semiHidden/>
    <w:unhideWhenUsed/>
    <w:uiPriority w:val="39"/>
    <w:pPr>
      <w:spacing w:after="0"/>
      <w:ind w:left="660"/>
    </w:pPr>
    <w:rPr>
      <w:rFonts w:eastAsiaTheme="minorHAnsi"/>
      <w:sz w:val="18"/>
      <w:szCs w:val="18"/>
    </w:rPr>
  </w:style>
  <w:style w:type="paragraph" w:styleId="19">
    <w:name w:val="Subtitle"/>
    <w:basedOn w:val="1"/>
    <w:next w:val="1"/>
    <w:link w:val="38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0">
    <w:name w:val="toc 6"/>
    <w:basedOn w:val="1"/>
    <w:next w:val="1"/>
    <w:semiHidden/>
    <w:unhideWhenUsed/>
    <w:uiPriority w:val="39"/>
    <w:pPr>
      <w:spacing w:after="0"/>
      <w:ind w:left="1100"/>
    </w:pPr>
    <w:rPr>
      <w:rFonts w:eastAsiaTheme="minorHAnsi"/>
      <w:sz w:val="18"/>
      <w:szCs w:val="18"/>
    </w:rPr>
  </w:style>
  <w:style w:type="paragraph" w:styleId="21">
    <w:name w:val="toc 2"/>
    <w:basedOn w:val="1"/>
    <w:next w:val="1"/>
    <w:unhideWhenUsed/>
    <w:uiPriority w:val="39"/>
    <w:pPr>
      <w:spacing w:after="0"/>
      <w:ind w:left="220"/>
    </w:pPr>
    <w:rPr>
      <w:rFonts w:eastAsiaTheme="minorHAnsi"/>
      <w:smallCaps/>
      <w:sz w:val="20"/>
      <w:szCs w:val="20"/>
    </w:rPr>
  </w:style>
  <w:style w:type="paragraph" w:styleId="22">
    <w:name w:val="toc 9"/>
    <w:basedOn w:val="1"/>
    <w:next w:val="1"/>
    <w:semiHidden/>
    <w:unhideWhenUsed/>
    <w:uiPriority w:val="39"/>
    <w:pPr>
      <w:spacing w:after="0"/>
      <w:ind w:left="1760"/>
    </w:pPr>
    <w:rPr>
      <w:rFonts w:eastAsiaTheme="minorHAnsi"/>
      <w:sz w:val="18"/>
      <w:szCs w:val="18"/>
    </w:rPr>
  </w:style>
  <w:style w:type="paragraph" w:styleId="23">
    <w:name w:val="Title"/>
    <w:basedOn w:val="1"/>
    <w:next w:val="1"/>
    <w:link w:val="37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26">
    <w:name w:val="page number"/>
    <w:basedOn w:val="25"/>
    <w:semiHidden/>
    <w:unhideWhenUsed/>
    <w:uiPriority w:val="99"/>
  </w:style>
  <w:style w:type="character" w:styleId="27">
    <w:name w:val="Hyperlink"/>
    <w:basedOn w:val="25"/>
    <w:unhideWhenUsed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 字符"/>
    <w:basedOn w:val="25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29">
    <w:name w:val="标题 2 字符"/>
    <w:basedOn w:val="25"/>
    <w:link w:val="3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30">
    <w:name w:val="标题 3 字符"/>
    <w:basedOn w:val="25"/>
    <w:link w:val="4"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31">
    <w:name w:val="标题 4 字符"/>
    <w:basedOn w:val="25"/>
    <w:link w:val="5"/>
    <w:semiHidden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32">
    <w:name w:val="标题 5 字符"/>
    <w:basedOn w:val="25"/>
    <w:link w:val="6"/>
    <w:semiHidden/>
    <w:uiPriority w:val="9"/>
    <w:rPr>
      <w:rFonts w:cstheme="majorBidi"/>
      <w:color w:val="104862" w:themeColor="accent1" w:themeShade="BF"/>
      <w:sz w:val="24"/>
    </w:rPr>
  </w:style>
  <w:style w:type="character" w:customStyle="1" w:styleId="33">
    <w:name w:val="标题 6 字符"/>
    <w:basedOn w:val="25"/>
    <w:link w:val="7"/>
    <w:semiHidden/>
    <w:uiPriority w:val="9"/>
    <w:rPr>
      <w:rFonts w:cstheme="majorBidi"/>
      <w:b/>
      <w:bCs/>
      <w:color w:val="104862" w:themeColor="accent1" w:themeShade="BF"/>
    </w:rPr>
  </w:style>
  <w:style w:type="character" w:customStyle="1" w:styleId="34">
    <w:name w:val="标题 7 字符"/>
    <w:basedOn w:val="25"/>
    <w:link w:val="8"/>
    <w:semiHidden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5">
    <w:name w:val="标题 8 字符"/>
    <w:basedOn w:val="25"/>
    <w:link w:val="9"/>
    <w:semiHidden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6">
    <w:name w:val="标题 9 字符"/>
    <w:basedOn w:val="25"/>
    <w:link w:val="10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7">
    <w:name w:val="标题 字符"/>
    <w:basedOn w:val="25"/>
    <w:link w:val="23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8">
    <w:name w:val="副标题 字符"/>
    <w:basedOn w:val="25"/>
    <w:link w:val="19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9">
    <w:name w:val="Quote"/>
    <w:basedOn w:val="1"/>
    <w:next w:val="1"/>
    <w:link w:val="40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0">
    <w:name w:val="引用 字符"/>
    <w:basedOn w:val="25"/>
    <w:link w:val="39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41">
    <w:name w:val="List Paragraph"/>
    <w:basedOn w:val="1"/>
    <w:qFormat/>
    <w:uiPriority w:val="34"/>
    <w:pPr>
      <w:ind w:left="720"/>
      <w:contextualSpacing/>
    </w:pPr>
  </w:style>
  <w:style w:type="character" w:customStyle="1" w:styleId="42">
    <w:name w:val="Intense Emphasis"/>
    <w:basedOn w:val="25"/>
    <w:qFormat/>
    <w:uiPriority w:val="21"/>
    <w:rPr>
      <w:i/>
      <w:iCs/>
      <w:color w:val="104862" w:themeColor="accent1" w:themeShade="BF"/>
    </w:rPr>
  </w:style>
  <w:style w:type="paragraph" w:styleId="43">
    <w:name w:val="Intense Quote"/>
    <w:basedOn w:val="1"/>
    <w:next w:val="1"/>
    <w:link w:val="44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44">
    <w:name w:val="明显引用 字符"/>
    <w:basedOn w:val="25"/>
    <w:link w:val="43"/>
    <w:uiPriority w:val="30"/>
    <w:rPr>
      <w:i/>
      <w:iCs/>
      <w:color w:val="104862" w:themeColor="accent1" w:themeShade="BF"/>
    </w:rPr>
  </w:style>
  <w:style w:type="character" w:customStyle="1" w:styleId="45">
    <w:name w:val="Intense Reference"/>
    <w:basedOn w:val="25"/>
    <w:qFormat/>
    <w:uiPriority w:val="32"/>
    <w:rPr>
      <w:b/>
      <w:bCs/>
      <w:smallCaps/>
      <w:color w:val="104862" w:themeColor="accent1" w:themeShade="BF"/>
      <w:spacing w:val="5"/>
    </w:rPr>
  </w:style>
  <w:style w:type="paragraph" w:customStyle="1" w:styleId="46">
    <w:name w:val="TOC Heading"/>
    <w:basedOn w:val="2"/>
    <w:next w:val="1"/>
    <w:unhideWhenUsed/>
    <w:qFormat/>
    <w:uiPriority w:val="39"/>
    <w:pPr>
      <w:widowControl/>
      <w:spacing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character" w:customStyle="1" w:styleId="47">
    <w:name w:val="页脚 字符"/>
    <w:basedOn w:val="25"/>
    <w:link w:val="15"/>
    <w:uiPriority w:val="99"/>
    <w:rPr>
      <w:sz w:val="18"/>
      <w:szCs w:val="18"/>
    </w:rPr>
  </w:style>
  <w:style w:type="character" w:customStyle="1" w:styleId="48">
    <w:name w:val="页眉 字符"/>
    <w:basedOn w:val="25"/>
    <w:link w:val="16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5.xml"/><Relationship Id="rId8" Type="http://schemas.openxmlformats.org/officeDocument/2006/relationships/footer" Target="footer4.xml"/><Relationship Id="rId7" Type="http://schemas.openxmlformats.org/officeDocument/2006/relationships/footer" Target="foot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1.png"/><Relationship Id="rId40" Type="http://schemas.openxmlformats.org/officeDocument/2006/relationships/image" Target="media/image30.png"/><Relationship Id="rId4" Type="http://schemas.openxmlformats.org/officeDocument/2006/relationships/endnotes" Target="endnotes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382</Words>
  <Characters>2180</Characters>
  <Lines>18</Lines>
  <Paragraphs>5</Paragraphs>
  <TotalTime>2</TotalTime>
  <ScaleCrop>false</ScaleCrop>
  <LinksUpToDate>false</LinksUpToDate>
  <CharactersWithSpaces>2557</CharactersWithSpaces>
  <Application>WPS Office_5.5.1.7991_F1E327BC-269C-435d-A152-05C5408002CA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2024-04-14T20:08:00Z</dcterms:created>
  <dc:creator>悦妍 冯</dc:creator>
  <cp:lastModifiedBy>:-(</cp:lastModifiedBy>
  <dcterms:modified xsi:type="dcterms:W3CDTF">2024-04-15T10:58:28Z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2052-5.5.1.7991</vt:lpwstr>
  </property>
  <property fmtid="{D5CDD505-2E9C-101B-9397-08002B2CF9AE}" pid="3" name="ICV">
    <vt:lpwstr>66E6134DFF647A7175F41B6695574368_42</vt:lpwstr>
  </property>
</Properties>
</file>